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48" w:rsidRDefault="00521F48" w:rsidP="001D24E3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bookmarkStart w:id="0" w:name="_GoBack"/>
      <w:bookmarkEnd w:id="0"/>
    </w:p>
    <w:p w:rsidR="001D24E3" w:rsidRPr="007133BA" w:rsidRDefault="001D24E3" w:rsidP="001D24E3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 ВНЕУРОЧНОЙ ДЕЯТЕЛЬНОСТИ «Я - КУРЯНИН</w:t>
      </w:r>
    </w:p>
    <w:p w:rsidR="001D24E3" w:rsidRPr="007133BA" w:rsidRDefault="001D24E3" w:rsidP="001D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1D24E3" w:rsidRPr="007133BA" w:rsidRDefault="001D24E3" w:rsidP="001D24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</w:t>
      </w:r>
      <w:proofErr w:type="gramStart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следующих личностных, </w:t>
      </w:r>
      <w:proofErr w:type="spellStart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предметных образовательных результатов.</w:t>
      </w:r>
    </w:p>
    <w:p w:rsidR="001D24E3" w:rsidRPr="007133BA" w:rsidRDefault="001D24E3" w:rsidP="001D24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планируется достижение следующих </w:t>
      </w:r>
      <w:r w:rsidRPr="00713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личностных результатов, </w:t>
      </w: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ценностного отношения к своей Родине – России и своей малой родине;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своей этнокультурной и российской гражданской идентичности;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проявление сопереживания, уважения и доброжелательности к окружающим;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народов, проживающих в регионе;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 к самовыражению в разных видах художественной деятельности;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бережное отношение к родной природе, неприятие действий, приносящих ей вред;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33B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133B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курса внеурочной деятельности «Я – курянин» отражают овладение: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33B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 учебными познавательными действиями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 с помощью взрослого формулировать цель, планировать изменения объекта, ситуации;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3) работа с информацией: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 целью поиска и извлечения познавательной информации; 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звуковую, информацию в соответствии с задачей;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коммуникативными действиями: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задачей, описывать достопримечательности родного края;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готовить небольшие публичные выступления;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работы, оценивать свой вклад в общий результат;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регулятивными действиями: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1) самоорганизация: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2) самоконтроль:</w:t>
      </w:r>
    </w:p>
    <w:p w:rsidR="001D24E3" w:rsidRPr="007133BA" w:rsidRDefault="001D24E3" w:rsidP="001D24E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устанавливать причины успеха/неудач деятельности;</w:t>
      </w:r>
    </w:p>
    <w:p w:rsidR="001D24E3" w:rsidRPr="007133BA" w:rsidRDefault="001D24E3" w:rsidP="001D24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корректировать свои действия для преодоления ошибок.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в рамках внеурочной деятельности вносят вклад в достижение следующих </w:t>
      </w:r>
      <w:r w:rsidRPr="00713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предметных результатов</w:t>
      </w: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7133BA">
        <w:rPr>
          <w:rFonts w:ascii="Times New Roman" w:eastAsia="Times New Roman" w:hAnsi="Times New Roman" w:cs="Times New Roman"/>
          <w:sz w:val="28"/>
          <w:szCs w:val="28"/>
        </w:rPr>
        <w:t>учебному предмету «Окружающий мир», «Литературное чтение»: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проявлять уважение к семейным ценностям и традициям, традициям своего народа и других народов, государственным символам Курской области;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показывать на физической карте изученные крупные географические объекты Курской области;  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соотносить изученные исторические события и исторических деятелей, прославивших курский край;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рассказывать о наиболее важных событиях истории, наиболее известных исторических деятелях разных периодов, достопримечательностях родного края;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lastRenderedPageBreak/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курского края;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приводить примеры произведений курских писателей и поэтов;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 составлять краткий отзыв о прочитанном тексте по заданному алгоритму; 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называть наиболее значимые природные объекты Курской области;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называть экологические проблемы региона и определять пути их решения;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создавать по заданному плану собственные развернутые высказывания о природе и общественном развитии курского края;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33BA">
        <w:rPr>
          <w:rFonts w:ascii="Times New Roman" w:eastAsia="Times New Roman" w:hAnsi="Times New Roman" w:cs="Times New Roman"/>
          <w:sz w:val="28"/>
          <w:szCs w:val="28"/>
        </w:rPr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  <w:proofErr w:type="gramEnd"/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выбирать источники для самостоятельного изучения с учетом рекомендательного списка, рассказывать о </w:t>
      </w:r>
      <w:proofErr w:type="gramStart"/>
      <w:r w:rsidRPr="007133B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7133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4E3" w:rsidRPr="007133BA" w:rsidRDefault="001D24E3" w:rsidP="001D24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1D24E3" w:rsidRPr="007133BA" w:rsidRDefault="001D24E3" w:rsidP="001D2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36" w:rsidRDefault="00EA1336" w:rsidP="00EA13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336" w:rsidRDefault="00EA1336" w:rsidP="00EA13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336" w:rsidRDefault="00EA1336" w:rsidP="00EA13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336" w:rsidRDefault="00EA1336" w:rsidP="00EA13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336" w:rsidRDefault="00EA1336" w:rsidP="00EA13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336" w:rsidRPr="007C329A" w:rsidRDefault="00EA1336" w:rsidP="00EA13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</w:t>
      </w:r>
    </w:p>
    <w:p w:rsidR="001D24E3" w:rsidRDefault="00EA1336" w:rsidP="00EA1336">
      <w:pPr>
        <w:widowControl w:val="0"/>
        <w:autoSpaceDE w:val="0"/>
        <w:autoSpaceDN w:val="0"/>
        <w:spacing w:after="0" w:line="368" w:lineRule="exact"/>
        <w:ind w:right="34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b/>
          <w:sz w:val="28"/>
          <w:szCs w:val="28"/>
        </w:rPr>
        <w:t>«Я – КУРЯНИН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4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4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C476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Курсковедение</w:t>
      </w:r>
      <w:proofErr w:type="spellEnd"/>
      <w:r w:rsidRPr="00DC4761">
        <w:rPr>
          <w:rFonts w:ascii="Times New Roman" w:eastAsia="Times New Roman" w:hAnsi="Times New Roman" w:cs="Times New Roman"/>
          <w:b/>
          <w:bCs/>
          <w:sz w:val="28"/>
          <w:szCs w:val="28"/>
        </w:rPr>
        <w:t>: География. История. Культура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4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Введение. Краеведение в моей жизни.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краеведения для современника. Цели, задачи изучения курса краеведения.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1. География Курского края.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Моя школа: учительские династии. Школы Курской области.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 географический.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Курск на карте России и Европы. Окрестности города Курска.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>Водное богатство края. Реки, протекающие по территории Курска и области, их география, особенности их флоры, фауны и пр. Проблемы экологии водных ресурсов края. Безопасность поведения на воде.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 xml:space="preserve">Г.И.  Шелихов – «Колумб Российский». Биография и открытия Г. И.  Шелихова.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Топонимика. Что изучает топонимика.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Топонимика Курского края.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Топонимы Курска и Курской области.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>Богатства недр земли Курской. КМА.</w:t>
      </w:r>
      <w:r w:rsidRPr="00DC47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>Михайловский ГОК. Виды полезных ископаемых, встречающихся на территории области. Железная руда, ее свойства.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Модуль 2. Историческое прошлое.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Древние города Курского края. Как жили наши предки. Старинные усадьбы Курской губернии. История курских старинных усадеб (усадьба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Нелидовых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(с.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Моква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Курский район), усадьба И. Т. Викторова «Дворец для любимой» (село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Сафоновка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Кореневского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района), усадьба А. А. Фета (с. Воробьевка,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Золотухинский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район), усадьба Марьино, дворец Барятинских (Рыльский район), усадьба Мазепы (с. Ивановское Рыльский район) и пр.).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Духовное богатство нашего края, храмы, жизнь и деяния курян, по святивших себя святому служению Отечеству (преподобный Феодосий Печерский, преподобный Серафим Саровский, священномученики Дамиан,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Онуфрий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матушка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Мисаила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Святые православные места Курского края. Коренная пустынь – духовный центр России. История возникновения монастыря Коренная пустынь. Возрождение духовной обители. Курск в XIX веке.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 в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веке. Исторические события, происходящие в Курске в ХХ веке. Курские пионеры в XX веке. Молодые города курского края. 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 в годы Великой Отечественной войны. Курская битва. Жизнь,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судьба, подвиги детей в годы Великой Отечественной войны. </w:t>
      </w:r>
      <w:r w:rsidRPr="00DC47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Моя малая родина в годы Великой Отечественной войны. Моя семья в годы Великой Отечественной войны.</w:t>
      </w:r>
    </w:p>
    <w:p w:rsidR="00DC4761" w:rsidRPr="00DC4761" w:rsidRDefault="00DC4761" w:rsidP="00DC4761">
      <w:pPr>
        <w:widowControl w:val="0"/>
        <w:autoSpaceDE w:val="0"/>
        <w:autoSpaceDN w:val="0"/>
        <w:spacing w:after="0" w:line="368" w:lineRule="exact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3. Культурное развитие. </w:t>
      </w:r>
    </w:p>
    <w:p w:rsidR="00DC4761" w:rsidRPr="00DC4761" w:rsidRDefault="00DC4761" w:rsidP="00DC4761">
      <w:pPr>
        <w:widowControl w:val="0"/>
        <w:autoSpaceDE w:val="0"/>
        <w:autoSpaceDN w:val="0"/>
        <w:spacing w:after="0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Гербы Курской области.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 xml:space="preserve">Фольклор Курского края (сказания и легенды). Народные песни Курского края.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Традиционные танцы Курского края: танки и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карагоды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Учреждения культуры города Курска. </w:t>
      </w:r>
    </w:p>
    <w:p w:rsidR="00DC4761" w:rsidRPr="00DC4761" w:rsidRDefault="00DC4761" w:rsidP="00DC476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Герои-земляки.</w:t>
      </w:r>
      <w:r w:rsidRPr="00DC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Знакомство с биографиями уроженцев и жителей Курска, героев Советского</w:t>
      </w:r>
      <w:r w:rsidRPr="00DC47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Союза,</w:t>
      </w:r>
      <w:r w:rsidRPr="00DC47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C47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DC47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DC47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личностей,</w:t>
      </w:r>
      <w:r w:rsidRPr="00DC47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C47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несших славу городу, России на военном поприще (В. Бочаров, Е. Зеленко, А. Боровых, К. Рокоссовский, А. Хмелевской – Герои Советского Союза, Российской Федерации,</w:t>
      </w:r>
      <w:r w:rsidRPr="00DC476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DC476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Сергеев</w:t>
      </w:r>
      <w:r w:rsidRPr="00DC476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C476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герой</w:t>
      </w:r>
      <w:r w:rsidRPr="00DC476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русско-японской</w:t>
      </w:r>
      <w:r w:rsidRPr="00DC476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войны,</w:t>
      </w:r>
      <w:r w:rsidRPr="00DC476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DC476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DC4761">
        <w:rPr>
          <w:rFonts w:ascii="Times New Roman" w:eastAsia="Times New Roman" w:hAnsi="Times New Roman" w:cs="Times New Roman"/>
          <w:sz w:val="28"/>
          <w:szCs w:val="28"/>
        </w:rPr>
        <w:t>Шеховцов</w:t>
      </w:r>
      <w:proofErr w:type="spellEnd"/>
      <w:r w:rsidRPr="00DC4761">
        <w:rPr>
          <w:rFonts w:ascii="Times New Roman" w:eastAsia="Times New Roman" w:hAnsi="Times New Roman" w:cs="Times New Roman"/>
          <w:sz w:val="28"/>
          <w:szCs w:val="28"/>
        </w:rPr>
        <w:t xml:space="preserve"> – герой Отечественной войны 1812 года, А. Шеин – первый русский</w:t>
      </w:r>
      <w:r w:rsidRPr="00DC4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4761">
        <w:rPr>
          <w:rFonts w:ascii="Times New Roman" w:eastAsia="Times New Roman" w:hAnsi="Times New Roman" w:cs="Times New Roman"/>
          <w:sz w:val="28"/>
          <w:szCs w:val="28"/>
        </w:rPr>
        <w:t>генералиссимус и др.).</w:t>
      </w:r>
    </w:p>
    <w:p w:rsidR="00DC4761" w:rsidRPr="00DC4761" w:rsidRDefault="00DC4761" w:rsidP="00DC4761">
      <w:pPr>
        <w:widowControl w:val="0"/>
        <w:autoSpaceDE w:val="0"/>
        <w:autoSpaceDN w:val="0"/>
        <w:spacing w:after="0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Астрономы, изобретатели, ученые Курского края. Знакомство с биографическими сведениями известных людей, прославившихся в науке (М. Алисов – изобретатель наборной машины, В. Алехин – русский и советский геоботаник, </w:t>
      </w:r>
      <w:proofErr w:type="spellStart"/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>степевед</w:t>
      </w:r>
      <w:proofErr w:type="spellEnd"/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>, флорист, Н. Алекса – известный ученый-геодезист, М. Гуревич – советский инженер-авиаконструктор, В. Котельников – ученый, заслуженный изобретатель РСФСР, Ф. Семенов – русский астроном-любитель, А. Снегирев – изобретатель управляемого аэростата, А. Уфимцев – советский изобретатель и авиационный конструктор, В. Шухов – великий инженер).</w:t>
      </w:r>
    </w:p>
    <w:p w:rsidR="00DC4761" w:rsidRPr="00DC4761" w:rsidRDefault="00DC4761" w:rsidP="00DC4761">
      <w:pPr>
        <w:widowControl w:val="0"/>
        <w:autoSpaceDE w:val="0"/>
        <w:autoSpaceDN w:val="0"/>
        <w:spacing w:after="0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i/>
          <w:sz w:val="28"/>
          <w:szCs w:val="28"/>
        </w:rPr>
        <w:t>Почетные граждане города, села.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Знакомство с их биографиями. «Человек года» – конкурс общественного признания «Курская антоновка». «Курская антоновка» – премия лучшим курянам.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4761" w:rsidRPr="00DC4761" w:rsidRDefault="00DC4761" w:rsidP="00DC4761">
      <w:pPr>
        <w:widowControl w:val="0"/>
        <w:autoSpaceDE w:val="0"/>
        <w:autoSpaceDN w:val="0"/>
        <w:spacing w:after="0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традиции курян.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Куряне – олимпийские чемпионы. </w:t>
      </w:r>
    </w:p>
    <w:p w:rsidR="00DC4761" w:rsidRPr="00DC4761" w:rsidRDefault="00DC4761" w:rsidP="00DC4761">
      <w:pPr>
        <w:widowControl w:val="0"/>
        <w:autoSpaceDE w:val="0"/>
        <w:autoSpaceDN w:val="0"/>
        <w:spacing w:after="0"/>
        <w:ind w:right="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61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Курский край современный. Тенденции развития курского края в области строительства, промышленности, сельского хозяйства, образования, культуры, науки, искусства, спорта и пр.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 – город будущего.</w:t>
      </w:r>
      <w:r w:rsidRPr="00DC47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 современности и проблемы, стоящие перед курянами.</w:t>
      </w: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B05" w:rsidRDefault="00802B05" w:rsidP="004305C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7A5" w:rsidRPr="001F07A5" w:rsidRDefault="00A34F18" w:rsidP="001F07A5">
      <w:pPr>
        <w:widowControl w:val="0"/>
        <w:autoSpaceDE w:val="0"/>
        <w:autoSpaceDN w:val="0"/>
        <w:spacing w:after="0"/>
        <w:ind w:right="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="001F07A5" w:rsidRPr="001F0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ематическое   планирование </w:t>
      </w:r>
    </w:p>
    <w:p w:rsidR="001F07A5" w:rsidRPr="001F07A5" w:rsidRDefault="001F07A5" w:rsidP="001F07A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-459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302"/>
        <w:gridCol w:w="1271"/>
        <w:gridCol w:w="1841"/>
        <w:gridCol w:w="1559"/>
        <w:gridCol w:w="1559"/>
      </w:tblGrid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ind w:left="-27" w:firstLine="2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keepNext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keepNext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0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1F0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keepNext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keepNext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keepNext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A6A90" w:rsidRPr="001F07A5" w:rsidTr="00BA6A90"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keepNext/>
              <w:autoSpaceDN w:val="0"/>
              <w:spacing w:after="0"/>
              <w:ind w:left="-27" w:firstLine="2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keepNext/>
              <w:autoSpaceDN w:val="0"/>
              <w:spacing w:after="0"/>
              <w:ind w:left="-27" w:firstLine="2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6A90" w:rsidRPr="001F07A5" w:rsidTr="00BA6A90">
        <w:trPr>
          <w:trHeight w:val="2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ind w:left="-27"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ind w:left="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занятие. Краеведение в моей жизни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rPr>
          <w:trHeight w:val="373"/>
        </w:trPr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Модуль 1.  </w:t>
            </w: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0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География курского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школа: учительские династии. Школы Курской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Курск на карте России и Европы.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Окрестности города Курска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 Курской области и их обитатели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Г.И. Шелихов – Колумб Российский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tabs>
                <w:tab w:val="left" w:pos="1548"/>
                <w:tab w:val="left" w:pos="2663"/>
                <w:tab w:val="left" w:pos="417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tabs>
                <w:tab w:val="left" w:pos="1548"/>
                <w:tab w:val="left" w:pos="2663"/>
                <w:tab w:val="left" w:pos="417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Топонимика Курского края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Богатства недр земли курской. КМА.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8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Pr="001F0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Историческое прошлое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Древние города курского края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жили наши предки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усадьбы Курской губернии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Святые православные места Курского края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Коренная пустынь – духовный центр России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 в XIX </w:t>
            </w:r>
            <w:proofErr w:type="spellStart"/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век</w:t>
            </w:r>
            <w:proofErr w:type="spellEnd"/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BA6A9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 в </w:t>
            </w: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Курские пионеры в XX веке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Молодые города курского края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rPr>
          <w:trHeight w:val="4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малая родина в годы Великой Отечественной войны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A90" w:rsidRPr="001F07A5" w:rsidRDefault="00BA6A90" w:rsidP="00BA6A90">
            <w:pPr>
              <w:widowControl w:val="0"/>
              <w:autoSpaceDE w:val="0"/>
              <w:autoSpaceDN w:val="0"/>
              <w:spacing w:after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 в годы Великой Отечественной войны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A90" w:rsidRPr="001F07A5" w:rsidRDefault="00BA6A90" w:rsidP="00BA6A9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Возрожденный Курск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A90" w:rsidRPr="001F07A5" w:rsidRDefault="00BA6A90" w:rsidP="00BA6A9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Вечный огонь Памяти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A90" w:rsidRPr="001F07A5" w:rsidRDefault="00BA6A90" w:rsidP="00BA6A9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3. Культурное наследие</w:t>
            </w: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Гербы Курской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Фольклор Курского края (сказания и </w:t>
            </w:r>
            <w:r w:rsidRPr="001F07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легенды)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BA6A90">
            <w:pPr>
              <w:widowControl w:val="0"/>
              <w:autoSpaceDE w:val="0"/>
              <w:autoSpaceDN w:val="0"/>
              <w:spacing w:after="0"/>
              <w:ind w:right="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Народные песни Курского края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танцы Курского края: </w:t>
            </w:r>
            <w:proofErr w:type="spellStart"/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танкѝ</w:t>
            </w:r>
            <w:proofErr w:type="spellEnd"/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карагоды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 города Курска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Астрономы, изобретатели, ученые Курского края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Почетные граждане города, села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65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Курская антоновка – премия лучшим курянам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65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традиции курян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65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Курский край современный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autoSpaceDN w:val="0"/>
              <w:spacing w:after="0"/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65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 – город будущего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A90" w:rsidRPr="001F07A5" w:rsidTr="00BA6A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A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 34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0" w:rsidRPr="001F07A5" w:rsidRDefault="00BA6A90" w:rsidP="001F07A5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5798" w:rsidRDefault="00DC4761" w:rsidP="00DC4761">
      <w:r w:rsidRPr="00DC4761">
        <w:rPr>
          <w:rFonts w:ascii="Times New Roman" w:eastAsia="Times New Roman" w:hAnsi="Times New Roman" w:cs="Times New Roman"/>
        </w:rPr>
        <w:br w:type="page"/>
      </w:r>
    </w:p>
    <w:sectPr w:rsidR="0004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46"/>
    <w:rsid w:val="00045798"/>
    <w:rsid w:val="001D24E3"/>
    <w:rsid w:val="001F07A5"/>
    <w:rsid w:val="004305CD"/>
    <w:rsid w:val="00521F48"/>
    <w:rsid w:val="00586BF4"/>
    <w:rsid w:val="00654777"/>
    <w:rsid w:val="007844B6"/>
    <w:rsid w:val="00802B05"/>
    <w:rsid w:val="00A34F18"/>
    <w:rsid w:val="00BA6915"/>
    <w:rsid w:val="00BA6A90"/>
    <w:rsid w:val="00C8108E"/>
    <w:rsid w:val="00DC4761"/>
    <w:rsid w:val="00E62F46"/>
    <w:rsid w:val="00E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1921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dcterms:created xsi:type="dcterms:W3CDTF">2023-09-25T07:47:00Z</dcterms:created>
  <dcterms:modified xsi:type="dcterms:W3CDTF">2023-10-03T12:22:00Z</dcterms:modified>
</cp:coreProperties>
</file>